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1" w:rsidRPr="00197C71" w:rsidRDefault="00197C71" w:rsidP="00197C71">
      <w:pPr>
        <w:spacing w:before="150" w:after="150" w:line="390" w:lineRule="atLeast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 w:rsidRPr="00197C71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Без федеральной поддержки регионам не модернизировать детские загородные лагеря - участники «круглого стола»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Комитет по вопросам семьи, женщин и детей провел круглый стол на тему: «Партнерство во имя детства: законодательные аспекты развития разнообразных форм летнего отдыха детей и их участия в детском движении».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В обсуждении приняли участие депутаты, представители федеральных и региональных органов исполнительной власти, руководители детских лагерей, представители общественных организаций.</w:t>
      </w:r>
    </w:p>
    <w:p w:rsidR="00197C71" w:rsidRPr="00197C71" w:rsidRDefault="00197C71" w:rsidP="00197C71">
      <w:pPr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Открывая дискуссию, председатель Комитета</w:t>
      </w:r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bookmarkStart w:id="0" w:name="news_linker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begin"/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instrText xml:space="preserve"> HYPERLINK "http://www.duma.gov.ru/structure/deputies/1756631/" </w:instrTex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separate"/>
      </w:r>
      <w:r w:rsidRPr="00197C71">
        <w:rPr>
          <w:rFonts w:ascii="Arial" w:eastAsia="Times New Roman" w:hAnsi="Arial" w:cs="Arial"/>
          <w:color w:val="3777A8"/>
          <w:sz w:val="21"/>
          <w:u w:val="single"/>
          <w:lang w:eastAsia="ru-RU"/>
        </w:rPr>
        <w:t>Тамара Плетнева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end"/>
      </w:r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напомнила, что в конце 2016 года принят закон о совершенствовании государственного регулирования организации отдыха и оздоровления детей.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Он предусматривает единые требования к деятельности организаций детского отдыха и оздоровления, укомплектованности штатов специалистами. В соответствии с документом порядок организации отдыха и оздоровления детей, включая общие требования к туристским маршрутам, порядок уведомления уполномоченных органов власти о месте, сроках и длительности прохождения таких маршрутов, а также условия и порядок обеспечения безопасности в организациях детского отдыха определит Правительство.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В обязанность регионам вменяется </w:t>
      </w:r>
      <w:proofErr w:type="gram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контроль за</w:t>
      </w:r>
      <w:proofErr w:type="gram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соблюдением единых требований, которые будут распространяться на все организации независимо от организационно-правовых форм и форм собственности.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Под действие закона подпадают загородные лагеря отдыха, детские оздоровительные центры, базы и комплексы, детские оздоровительно-образовательные центры, спортивные, трудовые, палаточные, тематические, санаторно-оздоровительные  и школьные лагеря.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Организации, работающие в сфере детского отдыха, обязаны обеспечить все необходимые условия для безопасного пребывания детей. В частности, речь идет о соблюдении требований антитеррористической защищенности, наличии охраны или службы безопасности, спасательных постов в местах купания.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Координировать работу по совершенствованию детского отдыха с 2017 года должно Министерство образования и науки.</w:t>
      </w:r>
    </w:p>
    <w:p w:rsidR="00197C71" w:rsidRPr="00197C71" w:rsidRDefault="00197C71" w:rsidP="00197C71">
      <w:pPr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«Мы рассчитываем, что регионы и муниципалитеты активно проведут летнюю оздоровительную кампанию. Важно, чтобы программы, реализуемые в детских лагерях, были интересны и безопасны», - подчеркнула первый заместитель председателя Комитета по вопросам семьи, женщин и детей</w:t>
      </w:r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hyperlink r:id="rId5" w:history="1">
        <w:r w:rsidRPr="00197C71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Ольга Окунева</w:t>
        </w:r>
      </w:hyperlink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Представитель департамента государственной политики в сфере воспитания детей и молодежи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Минобрнауки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 Александр Минаев рассказал о подготовке нормативных актов, необходимых для реализации закона. Они находятся в стадии согласования. Разработана и дорожная карта подготовки вожатых для детских лагерей.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Начальник правового управления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Роспотребнадзора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Наталья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Андрияшина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предложила уточнить правовые основания для выдачи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санэпидзаключений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, касающихся деятельности 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lastRenderedPageBreak/>
        <w:t>организаций детского отдыха. В настоящее время, по ее словам, ведомство фактически лишено соответствующих полномочий.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proofErr w:type="gram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Участники «круглого стола» обсудили положительный опыт организации работы по оздоровлению и воспитанию детей в Самарской и Смоленской областях и Санкт-Петербурге.</w:t>
      </w:r>
      <w:proofErr w:type="gramEnd"/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В то же время отмечалось, что в целом по стране количество загородных лагерей продолжает сокращаться, а число дневных растет. Укорачиваются и лагерные смены.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По словам члена Координационного совета по развитию детского туризма при Правительстве Сергея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Минделевича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, в летних лагерях, включая </w:t>
      </w:r>
      <w:proofErr w:type="gram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дневные</w:t>
      </w:r>
      <w:proofErr w:type="gram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, отдыхает всего 27% детей. И с каждым годом показатели ухудшаются.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Эксперт также обратил внимание на разницу в статистике. По данным Минтруда в прошлом году в лагерях отдохнули 8 млн. детей, а Росстат приводит более скромные цифры - всего 4,5 млн. детей.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«Каждый год мы теряем большое количество загородных стационарных лагерей, - с сожалением констатировал директор Всероссийского детского центра «Орленок» Александр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Джеус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По его мнению, детский оздоровительный отдых должен стать предметом совместного ведения, тогда у регионов появится стимул развивать эту отрасль.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С ним согласилась исполнительный директор МОО «Содействие детскому отдыху» Галина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Суховейко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. «Региональные налоги и коммунальные платежи растут. Проверки зашкаливают, - посетовала она. - В настоящее время с проверкой готовится придти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Роструд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 А там штрафы начинаются от 100 тысяч рублей. В связи с этим некоторые лагеря, в основном частные, берут паузу, чтобы посмотреть, что будет дальше».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Между тем, по ее словам, в России и без того простаивает огромное количество закрытых загородных лагерей - в отсутствие федерального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софинансирования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регионы не справляются с модернизацией материально-технической базы.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Отдельной темой стало развитие детского туризма и палаточных лагерей, которые так же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малозатратны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, как и лагеря дневного пребывания, но гораздо увлекательнее. Однако организация детских туристических маршрутов стала серьезной проблемой из-за большого числа запретов.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«Контролировать, безусловно, нужно, но при этом надо давать и возможность развиваться», - уверен член Координационного совета при Президенте по реализации Национальной стратегии действий в интересах Матвей 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Шпаро</w:t>
      </w:r>
      <w:proofErr w:type="spellEnd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  По его словам, необходим специальный документ, который бы регламентировал детский туризм и детские походы.</w:t>
      </w:r>
    </w:p>
    <w:p w:rsidR="00197C71" w:rsidRPr="00197C71" w:rsidRDefault="00197C71" w:rsidP="00197C71">
      <w:pPr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hyperlink r:id="rId6" w:history="1">
        <w:r w:rsidRPr="00197C71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Тамара Плетнева</w:t>
        </w:r>
      </w:hyperlink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высказалась за развитие лагерей труда и отдыха, в которых можно не только отдохнуть, но и заработать.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Участники дискуссии сошлись во мнении о необходимости единой классификации лагерей и типовых положений по каждому виду.</w:t>
      </w:r>
    </w:p>
    <w:p w:rsidR="00197C71" w:rsidRPr="00197C71" w:rsidRDefault="00197C71" w:rsidP="00197C71">
      <w:pPr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Депутат</w:t>
      </w:r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proofErr w:type="spellStart"/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begin"/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instrText xml:space="preserve"> HYPERLINK "http://www.duma.gov.ru/structure/deputies/1756557/" </w:instrTex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separate"/>
      </w:r>
      <w:r w:rsidRPr="00197C71">
        <w:rPr>
          <w:rFonts w:ascii="Arial" w:eastAsia="Times New Roman" w:hAnsi="Arial" w:cs="Arial"/>
          <w:color w:val="3777A8"/>
          <w:sz w:val="21"/>
          <w:u w:val="single"/>
          <w:lang w:eastAsia="ru-RU"/>
        </w:rPr>
        <w:t>Инга</w:t>
      </w:r>
      <w:proofErr w:type="spellEnd"/>
      <w:r w:rsidRPr="00197C71">
        <w:rPr>
          <w:rFonts w:ascii="Arial" w:eastAsia="Times New Roman" w:hAnsi="Arial" w:cs="Arial"/>
          <w:color w:val="3777A8"/>
          <w:sz w:val="21"/>
          <w:u w:val="single"/>
          <w:lang w:eastAsia="ru-RU"/>
        </w:rPr>
        <w:t xml:space="preserve"> Юмашева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end"/>
      </w:r>
      <w:bookmarkEnd w:id="0"/>
      <w:r w:rsidRPr="00197C71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остановилась на проблемах развития детского движения, отметив, что тема становится все более актуальной. В соответствии с указом Президента почти полтора года назад в стране создано общероссийское движение школьников.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lastRenderedPageBreak/>
        <w:t>«Но пока рано говорить о том, что организация оформилась в мощное движение, - заметила И.Юмашева. - Не до конца понятно, на каких условиях это движение должно взаимодействовать с другими детскими организациями, уже успевшими доказать свою значимость в отдельных регионах. Нет у нас и данных о том, сколько детей вовлечено в активную общественную деятельность».</w:t>
      </w:r>
    </w:p>
    <w:p w:rsidR="00197C71" w:rsidRPr="00197C71" w:rsidRDefault="00197C71" w:rsidP="00197C71">
      <w:pPr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97C7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По итогам обсуждения будут подготовлены рекомендации.</w:t>
      </w:r>
    </w:p>
    <w:p w:rsidR="00197C71" w:rsidRPr="00197C71" w:rsidRDefault="00197C71" w:rsidP="00197C71">
      <w:pPr>
        <w:spacing w:after="0" w:line="240" w:lineRule="auto"/>
        <w:rPr>
          <w:rFonts w:ascii="Arial" w:eastAsia="Times New Roman" w:hAnsi="Arial" w:cs="Arial"/>
          <w:i/>
          <w:iCs/>
          <w:caps/>
          <w:color w:val="7B7B7B"/>
          <w:sz w:val="18"/>
          <w:szCs w:val="18"/>
          <w:lang w:eastAsia="ru-RU"/>
        </w:rPr>
      </w:pPr>
      <w:r w:rsidRPr="00197C71">
        <w:rPr>
          <w:rFonts w:ascii="Arial" w:eastAsia="Times New Roman" w:hAnsi="Arial" w:cs="Arial"/>
          <w:i/>
          <w:iCs/>
          <w:caps/>
          <w:color w:val="7B7B7B"/>
          <w:sz w:val="18"/>
          <w:szCs w:val="18"/>
          <w:lang w:eastAsia="ru-RU"/>
        </w:rPr>
        <w:t>20 АПРЕЛЯ 2017 ГОДА</w:t>
      </w:r>
    </w:p>
    <w:sectPr w:rsidR="00197C71" w:rsidRPr="00197C71" w:rsidSect="000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52"/>
    <w:multiLevelType w:val="multilevel"/>
    <w:tmpl w:val="D37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2602B"/>
    <w:multiLevelType w:val="multilevel"/>
    <w:tmpl w:val="5E5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71"/>
    <w:rsid w:val="00076B6B"/>
    <w:rsid w:val="00197C71"/>
    <w:rsid w:val="00E6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B"/>
  </w:style>
  <w:style w:type="paragraph" w:styleId="1">
    <w:name w:val="heading 1"/>
    <w:basedOn w:val="a"/>
    <w:link w:val="10"/>
    <w:uiPriority w:val="9"/>
    <w:qFormat/>
    <w:rsid w:val="0019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C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C71"/>
  </w:style>
  <w:style w:type="character" w:customStyle="1" w:styleId="ui-icon">
    <w:name w:val="ui-icon"/>
    <w:basedOn w:val="a0"/>
    <w:rsid w:val="00197C71"/>
  </w:style>
  <w:style w:type="character" w:customStyle="1" w:styleId="month">
    <w:name w:val="month"/>
    <w:basedOn w:val="a0"/>
    <w:rsid w:val="00197C71"/>
  </w:style>
  <w:style w:type="character" w:customStyle="1" w:styleId="year">
    <w:name w:val="year"/>
    <w:basedOn w:val="a0"/>
    <w:rsid w:val="00197C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7C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">
    <w:name w:val="submit"/>
    <w:basedOn w:val="a0"/>
    <w:rsid w:val="00197C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7C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270">
                  <w:marLeft w:val="0"/>
                  <w:marRight w:val="0"/>
                  <w:marTop w:val="255"/>
                  <w:marBottom w:val="0"/>
                  <w:divBdr>
                    <w:top w:val="single" w:sz="6" w:space="5" w:color="F6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0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491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730">
                  <w:marLeft w:val="0"/>
                  <w:marRight w:val="0"/>
                  <w:marTop w:val="255"/>
                  <w:marBottom w:val="0"/>
                  <w:divBdr>
                    <w:top w:val="single" w:sz="6" w:space="5" w:color="F6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6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structure/deputies/1756631/" TargetMode="External"/><Relationship Id="rId5" Type="http://schemas.openxmlformats.org/officeDocument/2006/relationships/hyperlink" Target="http://www.duma.gov.ru/structure/deputies/17568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Company>Законодательное Собрание ЗК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2017-06-26T02:32:00Z</dcterms:created>
  <dcterms:modified xsi:type="dcterms:W3CDTF">2017-06-26T02:33:00Z</dcterms:modified>
</cp:coreProperties>
</file>